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bookmarkStart w:id="0" w:name="_GoBack"/>
      <w:bookmarkEnd w:id="0"/>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6074A7">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p>
        </w:tc>
      </w:tr>
      <w:tr w:rsidR="00C05CEA" w:rsidTr="006074A7">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FA" w:rsidRDefault="009030FA" w:rsidP="003F29DD">
      <w:r>
        <w:separator/>
      </w:r>
    </w:p>
  </w:endnote>
  <w:endnote w:type="continuationSeparator" w:id="0">
    <w:p w:rsidR="009030FA" w:rsidRDefault="009030FA"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FA" w:rsidRDefault="009030FA" w:rsidP="003F29DD">
      <w:r>
        <w:separator/>
      </w:r>
    </w:p>
  </w:footnote>
  <w:footnote w:type="continuationSeparator" w:id="0">
    <w:p w:rsidR="009030FA" w:rsidRDefault="009030FA"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D4773"/>
    <w:rsid w:val="001E01DD"/>
    <w:rsid w:val="00220228"/>
    <w:rsid w:val="00226A25"/>
    <w:rsid w:val="00276365"/>
    <w:rsid w:val="00291E2E"/>
    <w:rsid w:val="002A0258"/>
    <w:rsid w:val="002B09FE"/>
    <w:rsid w:val="002B7A98"/>
    <w:rsid w:val="002F2FEA"/>
    <w:rsid w:val="002F37B8"/>
    <w:rsid w:val="00330DA4"/>
    <w:rsid w:val="003440CA"/>
    <w:rsid w:val="003D12E9"/>
    <w:rsid w:val="003F29DD"/>
    <w:rsid w:val="003F47B3"/>
    <w:rsid w:val="00402BB7"/>
    <w:rsid w:val="00487B5F"/>
    <w:rsid w:val="004906E8"/>
    <w:rsid w:val="004B3246"/>
    <w:rsid w:val="004D1CAC"/>
    <w:rsid w:val="0052476F"/>
    <w:rsid w:val="005E78E8"/>
    <w:rsid w:val="00603107"/>
    <w:rsid w:val="006074A7"/>
    <w:rsid w:val="00683099"/>
    <w:rsid w:val="00713CAF"/>
    <w:rsid w:val="007B45DA"/>
    <w:rsid w:val="00847498"/>
    <w:rsid w:val="009030FA"/>
    <w:rsid w:val="00937912"/>
    <w:rsid w:val="0095553A"/>
    <w:rsid w:val="009D3ADA"/>
    <w:rsid w:val="009D66F8"/>
    <w:rsid w:val="00A10FF5"/>
    <w:rsid w:val="00A42F0F"/>
    <w:rsid w:val="00A53DC5"/>
    <w:rsid w:val="00A92E2F"/>
    <w:rsid w:val="00AB1840"/>
    <w:rsid w:val="00C05CEA"/>
    <w:rsid w:val="00C62838"/>
    <w:rsid w:val="00CB56F1"/>
    <w:rsid w:val="00CE33F0"/>
    <w:rsid w:val="00DF10CD"/>
    <w:rsid w:val="00E50DDC"/>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273D-E512-491E-B9D7-348D0C50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2022-12-26T01:06:00Z</dcterms:modified>
</cp:coreProperties>
</file>